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481" w:type="dxa"/>
        <w:tblInd w:w="-432" w:type="dxa"/>
        <w:tblLook w:val="01E0" w:firstRow="1" w:lastRow="1" w:firstColumn="1" w:lastColumn="1" w:noHBand="0" w:noVBand="0"/>
      </w:tblPr>
      <w:tblGrid>
        <w:gridCol w:w="1048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481" w:type="dxa"/>
            <w:textDirection w:val="lrTb"/>
            <w:noWrap w:val="false"/>
          </w:tcPr>
          <w:p>
            <w:pPr>
              <w:ind w:right="-5"/>
              <w:jc w:val="right"/>
              <w:spacing w:after="0" w:line="240" w:lineRule="auto"/>
              <w:tabs>
                <w:tab w:val="right" w:pos="1022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Приложение № 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r>
          </w:p>
          <w:p>
            <w:pPr>
              <w:ind w:right="-5"/>
              <w:jc w:val="right"/>
              <w:spacing w:after="0" w:line="240" w:lineRule="auto"/>
              <w:tabs>
                <w:tab w:val="right" w:pos="1022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к Контракту 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r>
          </w:p>
        </w:tc>
      </w:tr>
      <w:tr>
        <w:tblPrEx/>
        <w:trPr>
          <w:trHeight w:val="6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481" w:type="dxa"/>
            <w:textDirection w:val="lrTb"/>
            <w:noWrap w:val="false"/>
          </w:tcPr>
          <w:p>
            <w:pPr>
              <w:ind w:right="-5"/>
              <w:jc w:val="center"/>
              <w:spacing w:after="0" w:line="240" w:lineRule="auto"/>
              <w:tabs>
                <w:tab w:val="right" w:pos="1022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т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 2026г.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r>
          </w:p>
        </w:tc>
      </w:tr>
    </w:tbl>
    <w:p>
      <w:pPr>
        <w:contextualSpacing/>
        <w:jc w:val="center"/>
        <w:rPr>
          <w:rFonts w:ascii="Times New Roman" w:hAnsi="Times New Roman" w:eastAsia="Times New Roman" w:cs="Times New Roman"/>
          <w:b/>
          <w:bCs/>
          <w:color w:val="0d0d0d"/>
          <w:szCs w:val="24"/>
          <w:lang w:eastAsia="zh-CN"/>
        </w:rPr>
      </w:pPr>
      <w:r>
        <w:rPr>
          <w:rFonts w:ascii="Times New Roman" w:hAnsi="Times New Roman" w:eastAsia="Times New Roman" w:cs="Times New Roman"/>
          <w:b/>
          <w:bCs/>
          <w:color w:val="0d0d0d"/>
          <w:szCs w:val="24"/>
          <w:lang w:eastAsia="zh-CN"/>
        </w:rPr>
      </w:r>
      <w:r>
        <w:rPr>
          <w:rFonts w:ascii="Times New Roman" w:hAnsi="Times New Roman" w:eastAsia="Times New Roman" w:cs="Times New Roman"/>
          <w:b/>
          <w:bCs/>
          <w:color w:val="0d0d0d"/>
          <w:szCs w:val="24"/>
          <w:lang w:eastAsia="zh-CN"/>
        </w:rPr>
      </w:r>
      <w:r>
        <w:rPr>
          <w:rFonts w:ascii="Times New Roman" w:hAnsi="Times New Roman" w:eastAsia="Times New Roman" w:cs="Times New Roman"/>
          <w:b/>
          <w:bCs/>
          <w:color w:val="0d0d0d"/>
          <w:szCs w:val="24"/>
          <w:lang w:eastAsia="zh-CN"/>
        </w:rPr>
      </w:r>
    </w:p>
    <w:p>
      <w:pPr>
        <w:contextualSpacing/>
        <w:jc w:val="center"/>
        <w:rPr>
          <w:rFonts w:ascii="Times New Roman" w:hAnsi="Times New Roman" w:eastAsia="Times New Roman" w:cs="Times New Roman"/>
          <w:b/>
          <w:bCs/>
          <w:color w:val="0d0d0d"/>
          <w:szCs w:val="24"/>
          <w:lang w:eastAsia="zh-CN"/>
        </w:rPr>
      </w:pPr>
      <w:r>
        <w:rPr>
          <w:rFonts w:ascii="Times New Roman" w:hAnsi="Times New Roman" w:eastAsia="Times New Roman" w:cs="Times New Roman"/>
          <w:b/>
          <w:bCs/>
          <w:color w:val="0d0d0d"/>
          <w:szCs w:val="24"/>
          <w:lang w:eastAsia="zh-CN"/>
        </w:rPr>
      </w:r>
      <w:r>
        <w:rPr>
          <w:rFonts w:ascii="Times New Roman" w:hAnsi="Times New Roman" w:eastAsia="Times New Roman" w:cs="Times New Roman"/>
          <w:b/>
          <w:bCs/>
          <w:color w:val="0d0d0d"/>
          <w:szCs w:val="24"/>
          <w:lang w:eastAsia="zh-CN"/>
        </w:rPr>
      </w:r>
      <w:r>
        <w:rPr>
          <w:rFonts w:ascii="Times New Roman" w:hAnsi="Times New Roman" w:eastAsia="Times New Roman" w:cs="Times New Roman"/>
          <w:b/>
          <w:bCs/>
          <w:color w:val="0d0d0d"/>
          <w:szCs w:val="24"/>
          <w:lang w:eastAsia="zh-CN"/>
        </w:rPr>
      </w:r>
    </w:p>
    <w:p>
      <w:pPr>
        <w:contextualSpacing/>
        <w:jc w:val="center"/>
        <w:rPr>
          <w:rFonts w:ascii="Times New Roman" w:hAnsi="Times New Roman" w:cs="Times New Roman"/>
          <w:b/>
          <w:bCs/>
          <w:color w:val="0d0d0d"/>
        </w:rPr>
      </w:pPr>
      <w:r>
        <w:rPr>
          <w:rFonts w:ascii="Times New Roman" w:hAnsi="Times New Roman" w:eastAsia="Times New Roman" w:cs="Times New Roman"/>
          <w:b/>
          <w:bCs/>
          <w:color w:val="0d0d0d"/>
          <w:szCs w:val="24"/>
          <w:lang w:eastAsia="zh-CN"/>
        </w:rPr>
        <w:t xml:space="preserve"> СПЕЦИФИКАЦИЯ</w:t>
      </w:r>
      <w:r>
        <w:rPr>
          <w:rFonts w:ascii="Times New Roman" w:hAnsi="Times New Roman" w:cs="Times New Roman"/>
          <w:b/>
          <w:bCs/>
          <w:color w:val="0d0d0d"/>
        </w:rPr>
      </w:r>
      <w:r>
        <w:rPr>
          <w:rFonts w:ascii="Times New Roman" w:hAnsi="Times New Roman" w:cs="Times New Roman"/>
          <w:b/>
          <w:bCs/>
          <w:color w:val="0d0d0d"/>
        </w:rPr>
      </w:r>
    </w:p>
    <w:p>
      <w:pPr>
        <w:contextualSpacing/>
        <w:jc w:val="center"/>
        <w:spacing w:line="5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услуги по страхованию нежилых помещений от огня и других опасностей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10415" w:type="dxa"/>
        <w:tblInd w:w="-152" w:type="dxa"/>
        <w:tblLayout w:type="fixed"/>
        <w:tblLook w:val="04A0" w:firstRow="1" w:lastRow="0" w:firstColumn="1" w:lastColumn="0" w:noHBand="0" w:noVBand="1"/>
      </w:tblPr>
      <w:tblGrid>
        <w:gridCol w:w="624"/>
        <w:gridCol w:w="4488"/>
        <w:gridCol w:w="992"/>
        <w:gridCol w:w="989"/>
        <w:gridCol w:w="1562"/>
        <w:gridCol w:w="176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spacing w:after="60" w:line="25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/>
            <w:bookmarkStart w:id="0" w:name="undefined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488" w:type="dxa"/>
            <w:textDirection w:val="lrTb"/>
            <w:noWrap w:val="false"/>
          </w:tcPr>
          <w:p>
            <w:pPr>
              <w:jc w:val="center"/>
              <w:spacing w:after="60" w:line="25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Наименование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60" w:line="25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Ед. изм.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89" w:type="dxa"/>
            <w:textDirection w:val="lrTb"/>
            <w:noWrap w:val="false"/>
          </w:tcPr>
          <w:p>
            <w:pPr>
              <w:jc w:val="center"/>
              <w:spacing w:after="60" w:line="25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Кол-во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textDirection w:val="lrTb"/>
            <w:noWrap w:val="false"/>
          </w:tcPr>
          <w:p>
            <w:pPr>
              <w:jc w:val="center"/>
              <w:spacing w:after="60" w:line="25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Цена за ед.,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с НДС/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без НДС, руб.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center"/>
              <w:spacing w:after="60" w:line="25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Итого,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  <w:p>
            <w:pPr>
              <w:jc w:val="center"/>
              <w:spacing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С НДС/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без НДС, руб.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spacing w:after="6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1.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488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по страхованию имущества от огня и других опасностей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spacing w:after="0" w:line="1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(техническое оборудование ФГБУ «СИЦ Минтранса России»)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107078, г. Москва, ул. Садовая-Спасская, д. 18, стр. 1, этаж 2 (техническое оборудование, размещенное в комнатах № № 1, 2, 2а, 3, 4, 5, 5а, 6, 9, 10, 11, 12, 13, 14, 15, 15а, 16, 17, 18, 18а, 18б)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after="6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Код ОКПД 2: 65.12.90.000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6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. ед.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89" w:type="dxa"/>
            <w:textDirection w:val="lrTb"/>
            <w:noWrap w:val="false"/>
          </w:tcPr>
          <w:p>
            <w:pPr>
              <w:jc w:val="center"/>
              <w:spacing w:after="6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vMerge w:val="restart"/>
            <w:textDirection w:val="lrTb"/>
            <w:noWrap w:val="false"/>
          </w:tcPr>
          <w:p>
            <w:pPr>
              <w:jc w:val="center"/>
              <w:spacing w:after="60" w:line="252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488" w:type="dxa"/>
            <w:vMerge w:val="restart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по страхованию имущества от огня и других опасностей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(техническое оборудование ФГБУ «СИЦ Минтранса России»)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142440, Московская область, Богородский городской округ, п. Горбуша, Радиоцентр, РНФИ П12770067590, КН 50:16:0103028:298 (техническое оборудование ГЦОД, расположенное в ком. № 009, 010 цокольного этажа и ком. № 113, 114 на 1 этаже)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6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. ед.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8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vMerge w:val="restart"/>
            <w:textDirection w:val="lrTb"/>
            <w:noWrap w:val="false"/>
          </w:tcPr>
          <w:p>
            <w:pPr>
              <w:jc w:val="center"/>
              <w:spacing w:after="60" w:line="252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488" w:type="dxa"/>
            <w:vMerge w:val="restart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по страхованию имущества от огня и других опасностей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(техническое оборудование ФГБУ «СИЦ Минтранса России»)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Российская Федерация, город Москва, вн.тер.г. муниципальный округ Басманный, улица Большая Почтовая, дом 26, строение 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, этаж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№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6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. ед.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8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55" w:type="dxa"/>
            <w:textDirection w:val="lrTb"/>
            <w:noWrap w:val="false"/>
          </w:tcPr>
          <w:p>
            <w:pPr>
              <w:jc w:val="right"/>
              <w:spacing w:after="60" w:line="252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b/>
                <w:shd w:val="clear" w:color="auto" w:fill="ffffff"/>
                <w:lang w:eastAsia="zh-CN"/>
              </w:rPr>
              <w:t xml:space="preserve">ИТОГО:</w:t>
            </w:r>
            <w:bookmarkEnd w:id="0"/>
            <w:r>
              <w:rPr>
                <w:rFonts w:ascii="Times New Roman" w:hAnsi="Times New Roman" w:cs="Times New Roman"/>
                <w:b/>
                <w:shd w:val="clear" w:color="auto" w:fill="ffffff"/>
              </w:rPr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ind w:left="-142"/>
        <w:jc w:val="both"/>
        <w:spacing w:line="240" w:lineRule="auto"/>
        <w:rPr>
          <w:rFonts w:ascii="Times New Roman" w:hAnsi="Times New Roman" w:eastAsia="Times New Roman" w:cs="Times New Roman"/>
          <w:iCs/>
          <w:szCs w:val="24"/>
          <w:shd w:val="clear" w:color="auto" w:fill="ffffff"/>
          <w:lang w:eastAsia="zh-CN"/>
        </w:rPr>
      </w:pPr>
      <w:r>
        <w:rPr>
          <w:rFonts w:ascii="Times New Roman" w:hAnsi="Times New Roman" w:eastAsia="Times New Roman" w:cs="Times New Roman"/>
          <w:szCs w:val="24"/>
          <w:shd w:val="clear" w:color="auto" w:fill="ffffff"/>
          <w:lang w:eastAsia="zh-CN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Цена Контракта (страховая премия) составляет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НДС ______________ (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в случае, если услуги, оказываемые по Контракту, в соответствии с налоговым законодательством Российской Федерации не облагаются налогом на добавленную стоимость, в данный пункт включается соответствующая информация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iCs/>
          <w:szCs w:val="24"/>
          <w:shd w:val="clear" w:color="auto" w:fill="ffffff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Cs/>
          <w:szCs w:val="24"/>
          <w:shd w:val="clear" w:color="auto" w:fill="ffffff"/>
          <w:lang w:eastAsia="zh-CN"/>
        </w:rPr>
      </w:r>
      <w:r>
        <w:rPr>
          <w:rFonts w:ascii="Times New Roman" w:hAnsi="Times New Roman" w:eastAsia="Times New Roman" w:cs="Times New Roman"/>
          <w:iCs/>
          <w:szCs w:val="24"/>
          <w:shd w:val="clear" w:color="auto" w:fill="ffffff"/>
          <w:lang w:eastAsia="zh-CN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contextualSpacing/>
        <w:ind w:left="142"/>
        <w:spacing w:after="160" w:line="17" w:lineRule="atLeast"/>
        <w:rPr>
          <w:rFonts w:ascii="Times New Roman" w:hAnsi="Times New Roman" w:eastAsia="Calibri" w:cs="Times New Roman"/>
          <w:b/>
          <w:bCs/>
        </w:rPr>
      </w:pPr>
      <w:r>
        <w:rPr>
          <w:rFonts w:ascii="Times New Roman" w:hAnsi="Times New Roman" w:eastAsia="Calibri" w:cs="Times New Roman"/>
          <w:b/>
          <w:bCs/>
        </w:rPr>
        <w:t xml:space="preserve">СТРАХОВЩИК                                                                                               СТРАХОВАТЕЛЬ</w:t>
      </w:r>
      <w:r>
        <w:rPr>
          <w:rFonts w:ascii="Times New Roman" w:hAnsi="Times New Roman" w:eastAsia="Calibri" w:cs="Times New Roman"/>
          <w:b/>
          <w:bCs/>
        </w:rPr>
      </w:r>
      <w:r>
        <w:rPr>
          <w:rFonts w:ascii="Times New Roman" w:hAnsi="Times New Roman" w:eastAsia="Calibri" w:cs="Times New Roman"/>
          <w:b/>
          <w:bCs/>
        </w:rPr>
      </w:r>
    </w:p>
    <w:p>
      <w:pPr>
        <w:contextualSpacing/>
        <w:ind w:left="142"/>
        <w:spacing w:after="160" w:line="17" w:lineRule="atLeast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Calibri" w:cs="Times New Roman"/>
          <w:b/>
          <w:bCs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ФГБУ «СИЦ Минтранса России»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contextualSpacing/>
        <w:ind w:left="142"/>
        <w:spacing w:after="160" w:line="17" w:lineRule="atLeast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</w:t>
      </w:r>
      <w:r>
        <w:rPr>
          <w:rFonts w:ascii="Times New Roman" w:hAnsi="Times New Roman" w:eastAsia="Calibri" w:cs="Times New Roman"/>
        </w:rPr>
        <w:t xml:space="preserve">                                                                                                     Директор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contextualSpacing/>
        <w:ind w:left="142"/>
        <w:spacing w:after="0" w:line="240" w:lineRule="auto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contextualSpacing/>
        <w:ind w:left="142"/>
        <w:spacing w:after="160" w:line="17" w:lineRule="atLeast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________________/                        /                                                                   ______________/Кисляков А.В./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contextualSpacing/>
        <w:ind w:left="142"/>
        <w:spacing w:after="160" w:line="17" w:lineRule="atLeast"/>
        <w:rPr>
          <w:rFonts w:ascii="Times New Roman" w:hAnsi="Times New Roman" w:eastAsia="Calibri" w:cs="Times New Roman"/>
          <w:sz w:val="18"/>
          <w:szCs w:val="18"/>
        </w:rPr>
      </w:pPr>
      <w:r>
        <w:rPr>
          <w:rFonts w:ascii="Times New Roman" w:hAnsi="Times New Roman" w:eastAsia="Calibri" w:cs="Times New Roman"/>
          <w:sz w:val="18"/>
          <w:szCs w:val="18"/>
        </w:rPr>
        <w:t xml:space="preserve">ЭЦП                                                                                                                                                ЭЦП</w:t>
      </w:r>
      <w:r>
        <w:rPr>
          <w:rFonts w:ascii="Times New Roman" w:hAnsi="Times New Roman" w:eastAsia="Calibri" w:cs="Times New Roman"/>
          <w:sz w:val="18"/>
          <w:szCs w:val="18"/>
        </w:rPr>
      </w:r>
      <w:r>
        <w:rPr>
          <w:rFonts w:ascii="Times New Roman" w:hAnsi="Times New Roman" w:eastAsia="Calibri" w:cs="Times New Roman"/>
          <w:sz w:val="18"/>
          <w:szCs w:val="18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sectPr>
      <w:footnotePr/>
      <w:endnotePr/>
      <w:type w:val="nextPage"/>
      <w:pgSz w:w="11906" w:h="16838" w:orient="portrait"/>
      <w:pgMar w:top="1134" w:right="850" w:bottom="1134" w:left="85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Journal">
    <w:panose1 w:val="02000603000000000000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 w:default="1">
    <w:name w:val="Normal"/>
    <w:qFormat/>
  </w:style>
  <w:style w:type="paragraph" w:styleId="657">
    <w:name w:val="Heading 1"/>
    <w:basedOn w:val="656"/>
    <w:next w:val="656"/>
    <w:link w:val="68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58">
    <w:name w:val="Heading 2"/>
    <w:basedOn w:val="656"/>
    <w:next w:val="656"/>
    <w:link w:val="68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59">
    <w:name w:val="Heading 3"/>
    <w:basedOn w:val="656"/>
    <w:next w:val="656"/>
    <w:link w:val="68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60">
    <w:name w:val="Heading 4"/>
    <w:basedOn w:val="656"/>
    <w:next w:val="656"/>
    <w:link w:val="68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656"/>
    <w:next w:val="656"/>
    <w:link w:val="69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2">
    <w:name w:val="Heading 6"/>
    <w:basedOn w:val="656"/>
    <w:next w:val="656"/>
    <w:link w:val="69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63">
    <w:name w:val="Heading 7"/>
    <w:basedOn w:val="656"/>
    <w:next w:val="656"/>
    <w:link w:val="69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64">
    <w:name w:val="Heading 8"/>
    <w:basedOn w:val="656"/>
    <w:next w:val="656"/>
    <w:link w:val="69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65">
    <w:name w:val="Heading 9"/>
    <w:basedOn w:val="656"/>
    <w:next w:val="656"/>
    <w:link w:val="69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6" w:default="1">
    <w:name w:val="Default Paragraph Font"/>
    <w:uiPriority w:val="1"/>
    <w:semiHidden/>
    <w:unhideWhenUsed/>
  </w:style>
  <w:style w:type="table" w:styleId="66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8" w:default="1">
    <w:name w:val="No List"/>
    <w:uiPriority w:val="99"/>
    <w:semiHidden/>
    <w:unhideWhenUsed/>
  </w:style>
  <w:style w:type="character" w:styleId="669" w:customStyle="1">
    <w:name w:val="Heading 1 Char"/>
    <w:basedOn w:val="666"/>
    <w:uiPriority w:val="9"/>
    <w:rPr>
      <w:rFonts w:ascii="Arial" w:hAnsi="Arial" w:eastAsia="Arial" w:cs="Arial"/>
      <w:sz w:val="40"/>
      <w:szCs w:val="40"/>
    </w:rPr>
  </w:style>
  <w:style w:type="character" w:styleId="670" w:customStyle="1">
    <w:name w:val="Heading 2 Char"/>
    <w:basedOn w:val="666"/>
    <w:uiPriority w:val="9"/>
    <w:rPr>
      <w:rFonts w:ascii="Arial" w:hAnsi="Arial" w:eastAsia="Arial" w:cs="Arial"/>
      <w:sz w:val="34"/>
    </w:rPr>
  </w:style>
  <w:style w:type="character" w:styleId="671" w:customStyle="1">
    <w:name w:val="Heading 3 Char"/>
    <w:basedOn w:val="666"/>
    <w:uiPriority w:val="9"/>
    <w:rPr>
      <w:rFonts w:ascii="Arial" w:hAnsi="Arial" w:eastAsia="Arial" w:cs="Arial"/>
      <w:sz w:val="30"/>
      <w:szCs w:val="30"/>
    </w:rPr>
  </w:style>
  <w:style w:type="character" w:styleId="672" w:customStyle="1">
    <w:name w:val="Heading 4 Char"/>
    <w:basedOn w:val="666"/>
    <w:uiPriority w:val="9"/>
    <w:rPr>
      <w:rFonts w:ascii="Arial" w:hAnsi="Arial" w:eastAsia="Arial" w:cs="Arial"/>
      <w:b/>
      <w:bCs/>
      <w:sz w:val="26"/>
      <w:szCs w:val="26"/>
    </w:rPr>
  </w:style>
  <w:style w:type="character" w:styleId="673" w:customStyle="1">
    <w:name w:val="Heading 5 Char"/>
    <w:basedOn w:val="666"/>
    <w:uiPriority w:val="9"/>
    <w:rPr>
      <w:rFonts w:ascii="Arial" w:hAnsi="Arial" w:eastAsia="Arial" w:cs="Arial"/>
      <w:b/>
      <w:bCs/>
      <w:sz w:val="24"/>
      <w:szCs w:val="24"/>
    </w:rPr>
  </w:style>
  <w:style w:type="character" w:styleId="674" w:customStyle="1">
    <w:name w:val="Heading 6 Char"/>
    <w:basedOn w:val="666"/>
    <w:uiPriority w:val="9"/>
    <w:rPr>
      <w:rFonts w:ascii="Arial" w:hAnsi="Arial" w:eastAsia="Arial" w:cs="Arial"/>
      <w:b/>
      <w:bCs/>
      <w:sz w:val="22"/>
      <w:szCs w:val="22"/>
    </w:rPr>
  </w:style>
  <w:style w:type="character" w:styleId="675" w:customStyle="1">
    <w:name w:val="Heading 7 Char"/>
    <w:basedOn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6" w:customStyle="1">
    <w:name w:val="Heading 8 Char"/>
    <w:basedOn w:val="666"/>
    <w:uiPriority w:val="9"/>
    <w:rPr>
      <w:rFonts w:ascii="Arial" w:hAnsi="Arial" w:eastAsia="Arial" w:cs="Arial"/>
      <w:i/>
      <w:iCs/>
      <w:sz w:val="22"/>
      <w:szCs w:val="22"/>
    </w:rPr>
  </w:style>
  <w:style w:type="character" w:styleId="677" w:customStyle="1">
    <w:name w:val="Heading 9 Char"/>
    <w:basedOn w:val="666"/>
    <w:uiPriority w:val="9"/>
    <w:rPr>
      <w:rFonts w:ascii="Arial" w:hAnsi="Arial" w:eastAsia="Arial" w:cs="Arial"/>
      <w:i/>
      <w:iCs/>
      <w:sz w:val="21"/>
      <w:szCs w:val="21"/>
    </w:rPr>
  </w:style>
  <w:style w:type="character" w:styleId="678" w:customStyle="1">
    <w:name w:val="Title Char"/>
    <w:basedOn w:val="666"/>
    <w:uiPriority w:val="10"/>
    <w:rPr>
      <w:sz w:val="48"/>
      <w:szCs w:val="48"/>
    </w:rPr>
  </w:style>
  <w:style w:type="character" w:styleId="679" w:customStyle="1">
    <w:name w:val="Subtitle Char"/>
    <w:basedOn w:val="666"/>
    <w:uiPriority w:val="11"/>
    <w:rPr>
      <w:sz w:val="24"/>
      <w:szCs w:val="24"/>
    </w:rPr>
  </w:style>
  <w:style w:type="character" w:styleId="680" w:customStyle="1">
    <w:name w:val="Quote Char"/>
    <w:uiPriority w:val="29"/>
    <w:rPr>
      <w:i/>
    </w:rPr>
  </w:style>
  <w:style w:type="character" w:styleId="681" w:customStyle="1">
    <w:name w:val="Intense Quote Char"/>
    <w:uiPriority w:val="30"/>
    <w:rPr>
      <w:i/>
    </w:rPr>
  </w:style>
  <w:style w:type="character" w:styleId="682" w:customStyle="1">
    <w:name w:val="Header Char"/>
    <w:basedOn w:val="666"/>
    <w:uiPriority w:val="99"/>
  </w:style>
  <w:style w:type="character" w:styleId="683" w:customStyle="1">
    <w:name w:val="Caption Char"/>
    <w:uiPriority w:val="99"/>
  </w:style>
  <w:style w:type="character" w:styleId="684" w:customStyle="1">
    <w:name w:val="Footnote Text Char"/>
    <w:uiPriority w:val="99"/>
    <w:rPr>
      <w:sz w:val="18"/>
    </w:rPr>
  </w:style>
  <w:style w:type="character" w:styleId="685" w:customStyle="1">
    <w:name w:val="Endnote Text Char"/>
    <w:uiPriority w:val="99"/>
    <w:rPr>
      <w:sz w:val="20"/>
    </w:rPr>
  </w:style>
  <w:style w:type="character" w:styleId="686" w:customStyle="1">
    <w:name w:val="Заголовок 1 Знак"/>
    <w:link w:val="657"/>
    <w:uiPriority w:val="9"/>
    <w:rPr>
      <w:rFonts w:ascii="Arial" w:hAnsi="Arial" w:eastAsia="Arial" w:cs="Arial"/>
      <w:sz w:val="40"/>
      <w:szCs w:val="40"/>
    </w:rPr>
  </w:style>
  <w:style w:type="character" w:styleId="687" w:customStyle="1">
    <w:name w:val="Заголовок 2 Знак"/>
    <w:link w:val="658"/>
    <w:uiPriority w:val="9"/>
    <w:rPr>
      <w:rFonts w:ascii="Arial" w:hAnsi="Arial" w:eastAsia="Arial" w:cs="Arial"/>
      <w:sz w:val="34"/>
    </w:rPr>
  </w:style>
  <w:style w:type="character" w:styleId="688" w:customStyle="1">
    <w:name w:val="Заголовок 3 Знак"/>
    <w:link w:val="659"/>
    <w:uiPriority w:val="9"/>
    <w:rPr>
      <w:rFonts w:ascii="Arial" w:hAnsi="Arial" w:eastAsia="Arial" w:cs="Arial"/>
      <w:sz w:val="30"/>
      <w:szCs w:val="30"/>
    </w:rPr>
  </w:style>
  <w:style w:type="character" w:styleId="689" w:customStyle="1">
    <w:name w:val="Заголовок 4 Знак"/>
    <w:link w:val="660"/>
    <w:uiPriority w:val="9"/>
    <w:rPr>
      <w:rFonts w:ascii="Arial" w:hAnsi="Arial" w:eastAsia="Arial" w:cs="Arial"/>
      <w:b/>
      <w:bCs/>
      <w:sz w:val="26"/>
      <w:szCs w:val="26"/>
    </w:rPr>
  </w:style>
  <w:style w:type="character" w:styleId="690" w:customStyle="1">
    <w:name w:val="Заголовок 5 Знак"/>
    <w:link w:val="661"/>
    <w:uiPriority w:val="9"/>
    <w:rPr>
      <w:rFonts w:ascii="Arial" w:hAnsi="Arial" w:eastAsia="Arial" w:cs="Arial"/>
      <w:b/>
      <w:bCs/>
      <w:sz w:val="24"/>
      <w:szCs w:val="24"/>
    </w:rPr>
  </w:style>
  <w:style w:type="character" w:styleId="691" w:customStyle="1">
    <w:name w:val="Заголовок 6 Знак"/>
    <w:link w:val="662"/>
    <w:uiPriority w:val="9"/>
    <w:rPr>
      <w:rFonts w:ascii="Arial" w:hAnsi="Arial" w:eastAsia="Arial" w:cs="Arial"/>
      <w:b/>
      <w:bCs/>
      <w:sz w:val="22"/>
      <w:szCs w:val="22"/>
    </w:rPr>
  </w:style>
  <w:style w:type="character" w:styleId="692" w:customStyle="1">
    <w:name w:val="Заголовок 7 Знак"/>
    <w:link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3" w:customStyle="1">
    <w:name w:val="Заголовок 8 Знак"/>
    <w:link w:val="664"/>
    <w:uiPriority w:val="9"/>
    <w:rPr>
      <w:rFonts w:ascii="Arial" w:hAnsi="Arial" w:eastAsia="Arial" w:cs="Arial"/>
      <w:i/>
      <w:iCs/>
      <w:sz w:val="22"/>
      <w:szCs w:val="22"/>
    </w:rPr>
  </w:style>
  <w:style w:type="character" w:styleId="694" w:customStyle="1">
    <w:name w:val="Заголовок 9 Знак"/>
    <w:link w:val="665"/>
    <w:uiPriority w:val="9"/>
    <w:rPr>
      <w:rFonts w:ascii="Arial" w:hAnsi="Arial" w:eastAsia="Arial" w:cs="Arial"/>
      <w:i/>
      <w:iCs/>
      <w:sz w:val="21"/>
      <w:szCs w:val="21"/>
    </w:rPr>
  </w:style>
  <w:style w:type="paragraph" w:styleId="695">
    <w:name w:val="Title"/>
    <w:basedOn w:val="656"/>
    <w:next w:val="656"/>
    <w:link w:val="696"/>
    <w:uiPriority w:val="10"/>
    <w:qFormat/>
    <w:pPr>
      <w:contextualSpacing/>
      <w:spacing w:before="300"/>
    </w:pPr>
    <w:rPr>
      <w:sz w:val="48"/>
      <w:szCs w:val="48"/>
    </w:rPr>
  </w:style>
  <w:style w:type="character" w:styleId="696" w:customStyle="1">
    <w:name w:val="Заголовок Знак"/>
    <w:link w:val="695"/>
    <w:uiPriority w:val="10"/>
    <w:rPr>
      <w:sz w:val="48"/>
      <w:szCs w:val="48"/>
    </w:rPr>
  </w:style>
  <w:style w:type="paragraph" w:styleId="697">
    <w:name w:val="Subtitle"/>
    <w:basedOn w:val="656"/>
    <w:next w:val="656"/>
    <w:link w:val="698"/>
    <w:uiPriority w:val="11"/>
    <w:qFormat/>
    <w:pPr>
      <w:spacing w:before="200"/>
    </w:pPr>
    <w:rPr>
      <w:sz w:val="24"/>
      <w:szCs w:val="24"/>
    </w:r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56"/>
    <w:next w:val="656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56"/>
    <w:next w:val="656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56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link w:val="703"/>
    <w:uiPriority w:val="99"/>
  </w:style>
  <w:style w:type="paragraph" w:styleId="705">
    <w:name w:val="Footer"/>
    <w:basedOn w:val="656"/>
    <w:link w:val="7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>
    <w:name w:val="Caption"/>
    <w:basedOn w:val="656"/>
    <w:next w:val="656"/>
    <w:link w:val="683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basedOn w:val="667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0" w:customStyle="1">
    <w:name w:val="Table Grid Light"/>
    <w:basedOn w:val="66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1">
    <w:name w:val="Plain Table 1"/>
    <w:basedOn w:val="66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66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66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basedOn w:val="66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9" w:customStyle="1">
    <w:name w:val="Grid Table 4 - Accent 2"/>
    <w:basedOn w:val="66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0" w:customStyle="1">
    <w:name w:val="Grid Table 4 - Accent 3"/>
    <w:basedOn w:val="66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1" w:customStyle="1">
    <w:name w:val="Grid Table 4 - Accent 4"/>
    <w:basedOn w:val="66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2" w:customStyle="1">
    <w:name w:val="Grid Table 4 - Accent 5"/>
    <w:basedOn w:val="66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3" w:customStyle="1">
    <w:name w:val="Grid Table 4 - Accent 6"/>
    <w:basedOn w:val="66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4">
    <w:name w:val="Grid Table 5 Dark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3" w:customStyle="1">
    <w:name w:val="Grid Table 6 Colorful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4" w:customStyle="1">
    <w:name w:val="Grid Table 6 Colorful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5" w:customStyle="1">
    <w:name w:val="Grid Table 6 Colorful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6" w:customStyle="1">
    <w:name w:val="Grid Table 6 Colorful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7" w:customStyle="1">
    <w:name w:val="Grid Table 6 Colorful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8">
    <w:name w:val="Grid Table 7 Colorful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2" w:customStyle="1">
    <w:name w:val="List Table 6 Colorful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3" w:customStyle="1">
    <w:name w:val="List Table 6 Colorful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4" w:customStyle="1">
    <w:name w:val="List Table 6 Colorful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5" w:customStyle="1">
    <w:name w:val="List Table 6 Colorful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6" w:customStyle="1">
    <w:name w:val="List Table 6 Colorful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7">
    <w:name w:val="List Table 7 Colorful"/>
    <w:basedOn w:val="66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6" w:customStyle="1">
    <w:name w:val="Lined - Accent 2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7" w:customStyle="1">
    <w:name w:val="Lined - Accent 3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8" w:customStyle="1">
    <w:name w:val="Lined - Accent 4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9" w:customStyle="1">
    <w:name w:val="Lined - Accent 5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0" w:customStyle="1">
    <w:name w:val="Lined - Accent 6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1" w:customStyle="1">
    <w:name w:val="Bordered &amp; Lined - Accent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3" w:customStyle="1">
    <w:name w:val="Bordered &amp; Lined - Accent 2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4" w:customStyle="1">
    <w:name w:val="Bordered &amp; Lined - Accent 3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5" w:customStyle="1">
    <w:name w:val="Bordered &amp; Lined - Accent 4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6" w:customStyle="1">
    <w:name w:val="Bordered &amp; Lined - Accent 5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7" w:customStyle="1">
    <w:name w:val="Bordered &amp; Lined - Accent 6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8" w:customStyle="1">
    <w:name w:val="Bordered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0" w:customStyle="1">
    <w:name w:val="Bordered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1" w:customStyle="1">
    <w:name w:val="Bordered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2" w:customStyle="1">
    <w:name w:val="Bordered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3" w:customStyle="1">
    <w:name w:val="Bordered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4" w:customStyle="1">
    <w:name w:val="Bordered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563c1" w:themeColor="hyperlink"/>
      <w:u w:val="single"/>
    </w:rPr>
  </w:style>
  <w:style w:type="paragraph" w:styleId="836">
    <w:name w:val="footnote text"/>
    <w:basedOn w:val="656"/>
    <w:link w:val="837"/>
    <w:uiPriority w:val="99"/>
    <w:semiHidden/>
    <w:unhideWhenUsed/>
    <w:pPr>
      <w:spacing w:after="40" w:line="240" w:lineRule="auto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56"/>
    <w:link w:val="840"/>
    <w:uiPriority w:val="99"/>
    <w:semiHidden/>
    <w:unhideWhenUsed/>
    <w:pPr>
      <w:spacing w:after="0" w:line="240" w:lineRule="auto"/>
    </w:pPr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56"/>
    <w:next w:val="656"/>
    <w:uiPriority w:val="39"/>
    <w:unhideWhenUsed/>
    <w:pPr>
      <w:spacing w:after="57"/>
    </w:pPr>
  </w:style>
  <w:style w:type="paragraph" w:styleId="843">
    <w:name w:val="toc 2"/>
    <w:basedOn w:val="656"/>
    <w:next w:val="656"/>
    <w:uiPriority w:val="39"/>
    <w:unhideWhenUsed/>
    <w:pPr>
      <w:ind w:left="283"/>
      <w:spacing w:after="57"/>
    </w:pPr>
  </w:style>
  <w:style w:type="paragraph" w:styleId="844">
    <w:name w:val="toc 3"/>
    <w:basedOn w:val="656"/>
    <w:next w:val="656"/>
    <w:uiPriority w:val="39"/>
    <w:unhideWhenUsed/>
    <w:pPr>
      <w:ind w:left="567"/>
      <w:spacing w:after="57"/>
    </w:pPr>
  </w:style>
  <w:style w:type="paragraph" w:styleId="845">
    <w:name w:val="toc 4"/>
    <w:basedOn w:val="656"/>
    <w:next w:val="656"/>
    <w:uiPriority w:val="39"/>
    <w:unhideWhenUsed/>
    <w:pPr>
      <w:ind w:left="850"/>
      <w:spacing w:after="57"/>
    </w:pPr>
  </w:style>
  <w:style w:type="paragraph" w:styleId="846">
    <w:name w:val="toc 5"/>
    <w:basedOn w:val="656"/>
    <w:next w:val="656"/>
    <w:uiPriority w:val="39"/>
    <w:unhideWhenUsed/>
    <w:pPr>
      <w:ind w:left="1134"/>
      <w:spacing w:after="57"/>
    </w:pPr>
  </w:style>
  <w:style w:type="paragraph" w:styleId="847">
    <w:name w:val="toc 6"/>
    <w:basedOn w:val="656"/>
    <w:next w:val="656"/>
    <w:uiPriority w:val="39"/>
    <w:unhideWhenUsed/>
    <w:pPr>
      <w:ind w:left="1417"/>
      <w:spacing w:after="57"/>
    </w:pPr>
  </w:style>
  <w:style w:type="paragraph" w:styleId="848">
    <w:name w:val="toc 7"/>
    <w:basedOn w:val="656"/>
    <w:next w:val="656"/>
    <w:uiPriority w:val="39"/>
    <w:unhideWhenUsed/>
    <w:pPr>
      <w:ind w:left="1701"/>
      <w:spacing w:after="57"/>
    </w:pPr>
  </w:style>
  <w:style w:type="paragraph" w:styleId="849">
    <w:name w:val="toc 8"/>
    <w:basedOn w:val="656"/>
    <w:next w:val="656"/>
    <w:uiPriority w:val="39"/>
    <w:unhideWhenUsed/>
    <w:pPr>
      <w:ind w:left="1984"/>
      <w:spacing w:after="57"/>
    </w:pPr>
  </w:style>
  <w:style w:type="paragraph" w:styleId="850">
    <w:name w:val="toc 9"/>
    <w:basedOn w:val="656"/>
    <w:next w:val="656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56"/>
    <w:next w:val="656"/>
    <w:uiPriority w:val="99"/>
    <w:unhideWhenUsed/>
    <w:pPr>
      <w:spacing w:after="0"/>
    </w:pPr>
  </w:style>
  <w:style w:type="paragraph" w:styleId="853">
    <w:name w:val="No Spacing"/>
    <w:basedOn w:val="656"/>
    <w:uiPriority w:val="1"/>
    <w:qFormat/>
    <w:pPr>
      <w:spacing w:after="0" w:line="240" w:lineRule="auto"/>
    </w:pPr>
  </w:style>
  <w:style w:type="paragraph" w:styleId="854">
    <w:name w:val="List Paragraph"/>
    <w:basedOn w:val="656"/>
    <w:uiPriority w:val="34"/>
    <w:qFormat/>
    <w:pPr>
      <w:contextualSpacing/>
      <w:ind w:left="720"/>
    </w:pPr>
  </w:style>
  <w:style w:type="paragraph" w:styleId="855" w:customStyle="1">
    <w:name w:val="бычный"/>
    <w:link w:val="856"/>
    <w:pPr>
      <w:ind w:firstLine="709"/>
      <w:jc w:val="both"/>
      <w:spacing w:after="0" w:line="240" w:lineRule="auto"/>
      <w:widowControl w:val="off"/>
    </w:pPr>
    <w:rPr>
      <w:rFonts w:ascii="Journal" w:hAnsi="Journal" w:eastAsia="Times New Roman" w:cs="Times New Roman"/>
      <w:sz w:val="24"/>
      <w:szCs w:val="20"/>
      <w:lang w:eastAsia="ru-RU"/>
    </w:rPr>
  </w:style>
  <w:style w:type="character" w:styleId="856" w:customStyle="1">
    <w:name w:val="бычный Знак"/>
    <w:link w:val="855"/>
    <w:rPr>
      <w:rFonts w:ascii="Journal" w:hAnsi="Journal" w:eastAsia="Times New Roman" w:cs="Times New Roman"/>
      <w:sz w:val="24"/>
      <w:szCs w:val="20"/>
      <w:lang w:eastAsia="ru-RU"/>
    </w:rPr>
  </w:style>
  <w:style w:type="paragraph" w:styleId="857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BB11E-EF2A-4778-8233-AFB79C7C9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p.mukhin</cp:lastModifiedBy>
  <cp:revision>35</cp:revision>
  <dcterms:created xsi:type="dcterms:W3CDTF">2024-03-12T08:06:00Z</dcterms:created>
  <dcterms:modified xsi:type="dcterms:W3CDTF">2026-05-27T06:51:38Z</dcterms:modified>
</cp:coreProperties>
</file>